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2A7F62"/>
          <w:sz w:val="14"/>
        </w:rPr>
        <w:t>MENTORING MIT AUFWIND</w:t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35"/>
        </w:rPr>
        <w:t>Mentoring mit Aufwind</w:t>
      </w:r>
    </w:p>
    <w:p>
      <w:pPr>
        <w:spacing w:before="0" w:after="40" w:line="252" w:lineRule="auto"/>
        <w:jc w:val="left"/>
      </w:pPr>
      <w:r>
        <w:rPr>
          <w:rFonts w:ascii="Noto Sans" w:hAnsi="Noto Sans" w:eastAsia="Noto Sans"/>
          <w:b w:val="0"/>
          <w:i w:val="0"/>
          <w:color w:val="606A74"/>
          <w:sz w:val="16"/>
        </w:rPr>
        <w:t>Kostenfreie Praxismaterialien für Mentoring in der Schule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95"/>
        <w:gridCol w:w="1795"/>
        <w:gridCol w:w="1795"/>
        <w:gridCol w:w="1795"/>
        <w:gridCol w:w="1795"/>
        <w:gridCol w:w="1795"/>
      </w:tblGrid>
      <w:tr>
        <w:trPr>
          <w:trHeight w:val="45" w:hRule="exact"/>
        </w:trPr>
        <w:tc>
          <w:tcPr>
            <w:tcW w:type="dxa" w:w="1795"/>
            <w:shd w:fill="1F4E78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2A7F62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A66A00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6C4F9B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B24C3D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4B6F44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</w:tr>
    </w:tbl>
    <w:p>
      <w:pPr>
        <w:spacing w:before="0" w:after="100" w:line="269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Materialset unterstützt Lehrkräfte und schulische Mentor:innen bei Vorbereitung, Durchführung, Dokumentation und Weiterentwicklung von Mentoringgesprächen. Die ausführlichen Instrumente sind aufeinander abgestimmt und können einzeln oder als Gesamtsystem eingesetzt werden. Die Leitfäden enthalten bewusst vollständige Phasenziele, Mentor:innen-Foki und ein flexibles Fragenmenü; die Vorbereitungs- und Protokollbögen bieten ausreichend Schreibraum für eine vertiefte Nutzung.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1F4E78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1</w:t>
            </w:r>
          </w:p>
        </w:tc>
        <w:tc>
          <w:tcPr>
            <w:tcW w:type="dxa" w:w="10120"/>
            <w:shd w:fill="DCEAF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21"/>
              </w:rPr>
              <w:t>Materialien zum Download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91"/>
        <w:gridCol w:w="3591"/>
        <w:gridCol w:w="3591"/>
      </w:tblGrid>
      <w:tr>
        <w:tc>
          <w:tcPr>
            <w:tcW w:type="dxa" w:w="5953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DCEAF5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7"/>
              </w:rPr>
              <w:t>Vorbereitung auf mein erstes Mentoringgespräch</w:t>
            </w:r>
          </w:p>
        </w:tc>
        <w:tc>
          <w:tcPr>
            <w:tcW w:type="dxa" w:w="3855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F7F9FB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4"/>
              </w:rPr>
              <w:t>01_Vorbereitung_Erstgespraech_Mentoring_mit_Aufwind.pdf</w:t>
            </w:r>
          </w:p>
        </w:tc>
        <w:tc>
          <w:tcPr>
            <w:tcW w:type="dxa" w:w="964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F7F9FB"/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4 Seiten</w:t>
            </w:r>
          </w:p>
        </w:tc>
      </w:tr>
      <w:tr>
        <w:tc>
          <w:tcPr>
            <w:tcW w:type="dxa" w:w="5953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DDF1E8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2A7F62"/>
                <w:sz w:val="17"/>
              </w:rPr>
              <w:t>Vorbereitung auf mein nächstes Mentoringgespräch</w:t>
            </w:r>
          </w:p>
        </w:tc>
        <w:tc>
          <w:tcPr>
            <w:tcW w:type="dxa" w:w="3855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F7F9FB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4"/>
              </w:rPr>
              <w:t>02_Vorbereitung_Folgegespraech_Mentoring_mit_Aufwind.pdf</w:t>
            </w:r>
          </w:p>
        </w:tc>
        <w:tc>
          <w:tcPr>
            <w:tcW w:type="dxa" w:w="964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F7F9FB"/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3 Seiten</w:t>
            </w:r>
          </w:p>
        </w:tc>
      </w:tr>
      <w:tr>
        <w:tc>
          <w:tcPr>
            <w:tcW w:type="dxa" w:w="5953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F7E8C6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A66A00"/>
                <w:sz w:val="17"/>
              </w:rPr>
              <w:t>Leitfaden für das Erstgespräch</w:t>
            </w:r>
          </w:p>
        </w:tc>
        <w:tc>
          <w:tcPr>
            <w:tcW w:type="dxa" w:w="3855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F7F9FB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4"/>
              </w:rPr>
              <w:t>03_Leitfaden_Erstgespraech_Mentoring_mit_Aufwind.pdf</w:t>
            </w:r>
          </w:p>
        </w:tc>
        <w:tc>
          <w:tcPr>
            <w:tcW w:type="dxa" w:w="964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F7F9FB"/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1 Seite</w:t>
            </w:r>
          </w:p>
        </w:tc>
      </w:tr>
      <w:tr>
        <w:tc>
          <w:tcPr>
            <w:tcW w:type="dxa" w:w="5953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E9E1F3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6C4F9B"/>
                <w:sz w:val="17"/>
              </w:rPr>
              <w:t>Leitfaden für das Folgegespräch</w:t>
            </w:r>
          </w:p>
        </w:tc>
        <w:tc>
          <w:tcPr>
            <w:tcW w:type="dxa" w:w="3855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F7F9FB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4"/>
              </w:rPr>
              <w:t>04_Leitfaden_Folgegespraech_Mentoring_mit_Aufwind.pdf</w:t>
            </w:r>
          </w:p>
        </w:tc>
        <w:tc>
          <w:tcPr>
            <w:tcW w:type="dxa" w:w="964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F7F9FB"/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1 Seite</w:t>
            </w:r>
          </w:p>
        </w:tc>
      </w:tr>
      <w:tr>
        <w:tc>
          <w:tcPr>
            <w:tcW w:type="dxa" w:w="5953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F7DED9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B24C3D"/>
                <w:sz w:val="17"/>
              </w:rPr>
              <w:t>Protokoll für das Erstgespräch</w:t>
            </w:r>
          </w:p>
        </w:tc>
        <w:tc>
          <w:tcPr>
            <w:tcW w:type="dxa" w:w="3855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F7F9FB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4"/>
              </w:rPr>
              <w:t>05_Protokoll_Erstgespraech_Mentoring_mit_Aufwind.pdf</w:t>
            </w:r>
          </w:p>
        </w:tc>
        <w:tc>
          <w:tcPr>
            <w:tcW w:type="dxa" w:w="964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F7F9FB"/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2 Seiten</w:t>
            </w:r>
          </w:p>
        </w:tc>
      </w:tr>
      <w:tr>
        <w:tc>
          <w:tcPr>
            <w:tcW w:type="dxa" w:w="5953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E2EEDC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4B6F44"/>
                <w:sz w:val="17"/>
              </w:rPr>
              <w:t>Protokoll für das Folgegespräch</w:t>
            </w:r>
          </w:p>
        </w:tc>
        <w:tc>
          <w:tcPr>
            <w:tcW w:type="dxa" w:w="3855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F7F9FB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4"/>
              </w:rPr>
              <w:t>06_Protokoll_Folgegespraech_Mentoring_mit_Aufwind.pdf</w:t>
            </w:r>
          </w:p>
        </w:tc>
        <w:tc>
          <w:tcPr>
            <w:tcW w:type="dxa" w:w="964"/>
            <w:tcMar>
              <w:top w:w="55" w:type="dxa"/>
              <w:start w:w="65" w:type="dxa"/>
              <w:bottom w:w="55" w:type="dxa"/>
              <w:end w:w="65" w:type="dxa"/>
            </w:tcMar>
            <w:tcBorders>
              <w:top w:val="single" w:sz="4" w:color="B3BEC7"/>
              <w:start w:val="single" w:sz="4" w:color="B3BEC7"/>
              <w:bottom w:val="single" w:sz="4" w:color="B3BEC7"/>
              <w:end w:val="single" w:sz="4" w:color="B3BEC7"/>
            </w:tcBorders>
            <w:shd w:fill="F7F9FB"/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2 Seiten</w:t>
            </w:r>
          </w:p>
        </w:tc>
      </w:tr>
    </w:tbl>
    <w:p>
      <w:pPr>
        <w:spacing w:before="0" w:after="0" w:line="14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2A7F62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2</w:t>
            </w:r>
          </w:p>
        </w:tc>
        <w:tc>
          <w:tcPr>
            <w:tcW w:type="dxa" w:w="10120"/>
            <w:shd w:fill="DDF1E8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2A7F62"/>
                <w:sz w:val="21"/>
              </w:rPr>
              <w:t>Nutzung und Lizenz</w:t>
            </w:r>
          </w:p>
        </w:tc>
      </w:tr>
    </w:tbl>
    <w:p>
      <w:pPr>
        <w:spacing w:before="0" w:after="60" w:line="269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Die Materialien stehen unter der Lizenz CC BY-NC-SA 4.0. Sie dürfen für nichtkommerzielle Zwecke genutzt, vervielfältigt, weitergegeben und bearbeitet werden. André Lammers, die Quelle und die Lizenz sind zu nennen. Bearbeitete Fassungen werden unter denselben Bedingungen weitergegeben.</w:t>
      </w:r>
    </w:p>
    <w:p>
      <w:pPr>
        <w:spacing w:before="0" w:after="12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17"/>
        </w:rPr>
        <w:t xml:space="preserve">Lizenz: </w:t>
      </w:r>
      <w:hyperlink r:id="rId9">
        <w:r>
          <w:rPr>
            <w:rFonts w:ascii="Noto Sans" w:hAnsi="Noto Sans" w:eastAsia="Noto Sans"/>
            <w:color w:val="1F4E78"/>
            <w:u w:val="single"/>
            <w:sz w:val="17"/>
          </w:rPr>
          <w:t>https://creativecommons.org/licenses/by-nc-sa/4.0/deed.de</w:t>
        </w:r>
      </w:hyperlink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A66A00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3</w:t>
            </w:r>
          </w:p>
        </w:tc>
        <w:tc>
          <w:tcPr>
            <w:tcW w:type="dxa" w:w="10120"/>
            <w:shd w:fill="F7E8C6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A66A00"/>
                <w:sz w:val="21"/>
              </w:rPr>
              <w:t>Fachlicher Bezugsrahmen und Inspirationen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16"/>
        </w:rPr>
        <w:t xml:space="preserve">Baden-Württemberg: </w:t>
      </w:r>
      <w:r>
        <w:rPr>
          <w:rFonts w:ascii="Noto Sans" w:hAnsi="Noto Sans" w:eastAsia="Noto Sans"/>
          <w:b w:val="0"/>
          <w:i w:val="0"/>
          <w:color w:val="1F2933"/>
          <w:sz w:val="16"/>
        </w:rPr>
        <w:t>Materialien und Handreichungen zum Schülermentoring; Impulse für schulpraktische Vorbereitung, Gesprächsstruktur und Dokumentation.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16"/>
        </w:rPr>
        <w:t xml:space="preserve">NL24 Lerncoaching Baden-Württemberg: </w:t>
      </w:r>
      <w:r>
        <w:rPr>
          <w:rFonts w:ascii="Noto Sans" w:hAnsi="Noto Sans" w:eastAsia="Noto Sans"/>
          <w:b w:val="0"/>
          <w:i w:val="0"/>
          <w:color w:val="1F2933"/>
          <w:sz w:val="16"/>
        </w:rPr>
        <w:t>Unterstützung selbstständiger Lernprozesse, Ressourcenorientierung und prozessorientierte Gesprächsführung.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16"/>
        </w:rPr>
        <w:t xml:space="preserve">QUA-LiS NRW Lerncoachingmappe: </w:t>
      </w:r>
      <w:r>
        <w:rPr>
          <w:rFonts w:ascii="Noto Sans" w:hAnsi="Noto Sans" w:eastAsia="Noto Sans"/>
          <w:b w:val="0"/>
          <w:i w:val="0"/>
          <w:color w:val="1F2933"/>
          <w:sz w:val="16"/>
        </w:rPr>
        <w:t>Schulpraktische Vereinbarungs-, Gesprächs-, Planungs- und Feedbackinstrumente.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16"/>
        </w:rPr>
        <w:t xml:space="preserve">DBVC Coaching-Kompendium: </w:t>
      </w:r>
      <w:r>
        <w:rPr>
          <w:rFonts w:ascii="Noto Sans" w:hAnsi="Noto Sans" w:eastAsia="Noto Sans"/>
          <w:b w:val="0"/>
          <w:i w:val="0"/>
          <w:color w:val="1F2933"/>
          <w:sz w:val="16"/>
        </w:rPr>
        <w:t>Auftragsklärung, Kontext- und Ressourcenexploration, Strategie, Umsetzung, Abschluss und Evaluation.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16"/>
        </w:rPr>
        <w:t xml:space="preserve">ICF Core Competencies 2025: </w:t>
      </w:r>
      <w:r>
        <w:rPr>
          <w:rFonts w:ascii="Noto Sans" w:hAnsi="Noto Sans" w:eastAsia="Noto Sans"/>
          <w:b w:val="0"/>
          <w:i w:val="0"/>
          <w:color w:val="1F2933"/>
          <w:sz w:val="16"/>
        </w:rPr>
        <w:t>Ethik, Vereinbarung, Vertrauen, Präsenz, aktives Zuhören, Bewusstheit und Wachstum.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16"/>
        </w:rPr>
        <w:t xml:space="preserve">DCV, DGSv und dvct: </w:t>
      </w:r>
      <w:r>
        <w:rPr>
          <w:rFonts w:ascii="Noto Sans" w:hAnsi="Noto Sans" w:eastAsia="Noto Sans"/>
          <w:b w:val="0"/>
          <w:i w:val="0"/>
          <w:color w:val="1F2933"/>
          <w:sz w:val="16"/>
        </w:rPr>
        <w:t>Ethik, Rollen- und Vertragsklarheit, Qualitätssicherung sowie professionelle Kompetenzmodelle.</w:t>
      </w:r>
    </w:p>
    <w:p>
      <w:r>
        <w:br w:type="page"/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2A7F62"/>
          <w:sz w:val="14"/>
        </w:rPr>
        <w:t>MENTORING MIT AUFWIND</w:t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30"/>
        </w:rPr>
        <w:t>Quellen und offizielle Links</w:t>
      </w:r>
    </w:p>
    <w:p>
      <w:pPr>
        <w:spacing w:before="0" w:after="40" w:line="252" w:lineRule="auto"/>
        <w:jc w:val="left"/>
      </w:pPr>
      <w:r>
        <w:rPr>
          <w:rFonts w:ascii="Noto Sans" w:hAnsi="Noto Sans" w:eastAsia="Noto Sans"/>
          <w:b w:val="0"/>
          <w:i w:val="0"/>
          <w:color w:val="606A74"/>
          <w:sz w:val="15"/>
        </w:rPr>
        <w:t>Stand: 19. Juli 2026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95"/>
        <w:gridCol w:w="1795"/>
        <w:gridCol w:w="1795"/>
        <w:gridCol w:w="1795"/>
        <w:gridCol w:w="1795"/>
        <w:gridCol w:w="1795"/>
      </w:tblGrid>
      <w:tr>
        <w:trPr>
          <w:trHeight w:val="45" w:hRule="exact"/>
        </w:trPr>
        <w:tc>
          <w:tcPr>
            <w:tcW w:type="dxa" w:w="1795"/>
            <w:shd w:fill="1F4E78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2A7F62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A66A00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6C4F9B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B24C3D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4B6F44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c>
          <w:tcPr>
            <w:tcW w:type="dxa" w:w="10772"/>
            <w:shd w:fill="DCEAF5"/>
            <w:tcMar>
              <w:top w:w="55" w:type="dxa"/>
              <w:start w:w="75" w:type="dxa"/>
              <w:bottom w:w="55" w:type="dxa"/>
              <w:end w:w="75" w:type="dxa"/>
            </w:tcMar>
            <w:tcBorders>
              <w:top w:val="single" w:sz="5" w:color="1F4E78"/>
              <w:start w:val="single" w:sz="5" w:color="1F4E78"/>
              <w:bottom w:val="single" w:sz="5" w:color="1F4E78"/>
              <w:end w:val="single" w:sz="5" w:color="1F4E78"/>
            </w:tcBorders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7"/>
              </w:rPr>
              <w:t>NL24 Lerncoaching Baden-Württemberg</w:t>
            </w:r>
            <w:r>
              <w:br/>
            </w:r>
            <w:hyperlink r:id="rId10">
              <w:r>
                <w:rPr>
                  <w:rFonts w:ascii="Noto Sans" w:hAnsi="Noto Sans" w:eastAsia="Noto Sans"/>
                  <w:color w:val="1F4E78"/>
                  <w:u w:val="single"/>
                  <w:sz w:val="14"/>
                </w:rPr>
                <w:t>https://www.schule-bw.de/themen-und-impulse/individuelles-lernen-und-individuelle-foerderung/allgemein-bildende-schulen/kompetenzraster-als-paedagogische-umsetzungshilfen/lerncoaching/nl24_lerncoaching_unterstuetzung_des_indiv_lernprozesses.pdf</w:t>
              </w:r>
            </w:hyperlink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c>
          <w:tcPr>
            <w:tcW w:type="dxa" w:w="10772"/>
            <w:shd w:fill="DDF1E8"/>
            <w:tcMar>
              <w:top w:w="55" w:type="dxa"/>
              <w:start w:w="75" w:type="dxa"/>
              <w:bottom w:w="55" w:type="dxa"/>
              <w:end w:w="75" w:type="dxa"/>
            </w:tcMar>
            <w:tcBorders>
              <w:top w:val="single" w:sz="5" w:color="2A7F62"/>
              <w:start w:val="single" w:sz="5" w:color="2A7F62"/>
              <w:bottom w:val="single" w:sz="5" w:color="2A7F62"/>
              <w:end w:val="single" w:sz="5" w:color="2A7F62"/>
            </w:tcBorders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2A7F62"/>
                <w:sz w:val="17"/>
              </w:rPr>
              <w:t>QUA-LiS NRW Lerncoachingmappe</w:t>
            </w:r>
            <w:r>
              <w:br/>
            </w:r>
            <w:hyperlink r:id="rId11">
              <w:r>
                <w:rPr>
                  <w:rFonts w:ascii="Noto Sans" w:hAnsi="Noto Sans" w:eastAsia="Noto Sans"/>
                  <w:color w:val="1F4E78"/>
                  <w:u w:val="single"/>
                  <w:sz w:val="14"/>
                </w:rPr>
                <w:t>https://www.qua-lis.nrw.de/system/files/media/document/file/m02-hvk_lerncoachingmappe.pdf</w:t>
              </w:r>
            </w:hyperlink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c>
          <w:tcPr>
            <w:tcW w:type="dxa" w:w="10772"/>
            <w:shd w:fill="F7E8C6"/>
            <w:tcMar>
              <w:top w:w="55" w:type="dxa"/>
              <w:start w:w="75" w:type="dxa"/>
              <w:bottom w:w="55" w:type="dxa"/>
              <w:end w:w="75" w:type="dxa"/>
            </w:tcMar>
            <w:tcBorders>
              <w:top w:val="single" w:sz="5" w:color="A66A00"/>
              <w:start w:val="single" w:sz="5" w:color="A66A00"/>
              <w:bottom w:val="single" w:sz="5" w:color="A66A00"/>
              <w:end w:val="single" w:sz="5" w:color="A66A00"/>
            </w:tcBorders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A66A00"/>
                <w:sz w:val="17"/>
              </w:rPr>
              <w:t>DBVC Coaching-Kompendium</w:t>
            </w:r>
            <w:r>
              <w:br/>
            </w:r>
            <w:hyperlink r:id="rId12">
              <w:r>
                <w:rPr>
                  <w:rFonts w:ascii="Noto Sans" w:hAnsi="Noto Sans" w:eastAsia="Noto Sans"/>
                  <w:color w:val="1F4E78"/>
                  <w:u w:val="single"/>
                  <w:sz w:val="14"/>
                </w:rPr>
                <w:t>https://www.dbvc.de/standards-fuer/coaching-kompendium</w:t>
              </w:r>
            </w:hyperlink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c>
          <w:tcPr>
            <w:tcW w:type="dxa" w:w="10772"/>
            <w:shd w:fill="E9E1F3"/>
            <w:tcMar>
              <w:top w:w="55" w:type="dxa"/>
              <w:start w:w="75" w:type="dxa"/>
              <w:bottom w:w="55" w:type="dxa"/>
              <w:end w:w="75" w:type="dxa"/>
            </w:tcMar>
            <w:tcBorders>
              <w:top w:val="single" w:sz="5" w:color="6C4F9B"/>
              <w:start w:val="single" w:sz="5" w:color="6C4F9B"/>
              <w:bottom w:val="single" w:sz="5" w:color="6C4F9B"/>
              <w:end w:val="single" w:sz="5" w:color="6C4F9B"/>
            </w:tcBorders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6C4F9B"/>
                <w:sz w:val="17"/>
              </w:rPr>
              <w:t>ICF Kernkompetenzen</w:t>
            </w:r>
            <w:r>
              <w:br/>
            </w:r>
            <w:hyperlink r:id="rId13">
              <w:r>
                <w:rPr>
                  <w:rFonts w:ascii="Noto Sans" w:hAnsi="Noto Sans" w:eastAsia="Noto Sans"/>
                  <w:color w:val="1F4E78"/>
                  <w:u w:val="single"/>
                  <w:sz w:val="14"/>
                </w:rPr>
                <w:t>https://coachingfederation.org/resource/icf-core-competencies/</w:t>
              </w:r>
            </w:hyperlink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c>
          <w:tcPr>
            <w:tcW w:type="dxa" w:w="10772"/>
            <w:shd w:fill="F7DED9"/>
            <w:tcMar>
              <w:top w:w="55" w:type="dxa"/>
              <w:start w:w="75" w:type="dxa"/>
              <w:bottom w:w="55" w:type="dxa"/>
              <w:end w:w="75" w:type="dxa"/>
            </w:tcMar>
            <w:tcBorders>
              <w:top w:val="single" w:sz="5" w:color="B24C3D"/>
              <w:start w:val="single" w:sz="5" w:color="B24C3D"/>
              <w:bottom w:val="single" w:sz="5" w:color="B24C3D"/>
              <w:end w:val="single" w:sz="5" w:color="B24C3D"/>
            </w:tcBorders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B24C3D"/>
                <w:sz w:val="17"/>
              </w:rPr>
              <w:t>DCV Ethikrichtlinie</w:t>
            </w:r>
            <w:r>
              <w:br/>
            </w:r>
            <w:hyperlink r:id="rId14">
              <w:r>
                <w:rPr>
                  <w:rFonts w:ascii="Noto Sans" w:hAnsi="Noto Sans" w:eastAsia="Noto Sans"/>
                  <w:color w:val="1F4E78"/>
                  <w:u w:val="single"/>
                  <w:sz w:val="14"/>
                </w:rPr>
                <w:t>https://coachingverband.org/wp-content/uploads/DCV-Ethikrichtlinie.pdf</w:t>
              </w:r>
            </w:hyperlink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c>
          <w:tcPr>
            <w:tcW w:type="dxa" w:w="10772"/>
            <w:shd w:fill="E2EEDC"/>
            <w:tcMar>
              <w:top w:w="55" w:type="dxa"/>
              <w:start w:w="75" w:type="dxa"/>
              <w:bottom w:w="55" w:type="dxa"/>
              <w:end w:w="75" w:type="dxa"/>
            </w:tcMar>
            <w:tcBorders>
              <w:top w:val="single" w:sz="5" w:color="4B6F44"/>
              <w:start w:val="single" w:sz="5" w:color="4B6F44"/>
              <w:bottom w:val="single" w:sz="5" w:color="4B6F44"/>
              <w:end w:val="single" w:sz="5" w:color="4B6F44"/>
            </w:tcBorders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4B6F44"/>
                <w:sz w:val="17"/>
              </w:rPr>
              <w:t>DGSv Qualität</w:t>
            </w:r>
            <w:r>
              <w:br/>
            </w:r>
            <w:hyperlink r:id="rId15">
              <w:r>
                <w:rPr>
                  <w:rFonts w:ascii="Noto Sans" w:hAnsi="Noto Sans" w:eastAsia="Noto Sans"/>
                  <w:color w:val="1F4E78"/>
                  <w:u w:val="single"/>
                  <w:sz w:val="14"/>
                </w:rPr>
                <w:t>https://www.dgsv.de/beratung/qualitaet/</w:t>
              </w:r>
            </w:hyperlink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c>
          <w:tcPr>
            <w:tcW w:type="dxa" w:w="10772"/>
            <w:shd w:fill="DCEAF5"/>
            <w:tcMar>
              <w:top w:w="55" w:type="dxa"/>
              <w:start w:w="75" w:type="dxa"/>
              <w:bottom w:w="55" w:type="dxa"/>
              <w:end w:w="75" w:type="dxa"/>
            </w:tcMar>
            <w:tcBorders>
              <w:top w:val="single" w:sz="5" w:color="1F4E78"/>
              <w:start w:val="single" w:sz="5" w:color="1F4E78"/>
              <w:bottom w:val="single" w:sz="5" w:color="1F4E78"/>
              <w:end w:val="single" w:sz="5" w:color="1F4E78"/>
            </w:tcBorders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7"/>
              </w:rPr>
              <w:t>dvct Kompetenzmodelle</w:t>
            </w:r>
            <w:r>
              <w:br/>
            </w:r>
            <w:hyperlink r:id="rId16">
              <w:r>
                <w:rPr>
                  <w:rFonts w:ascii="Noto Sans" w:hAnsi="Noto Sans" w:eastAsia="Noto Sans"/>
                  <w:color w:val="1F4E78"/>
                  <w:u w:val="single"/>
                  <w:sz w:val="14"/>
                </w:rPr>
                <w:t>https://www.dvct.de/verband/kompetenzmodelle</w:t>
              </w:r>
            </w:hyperlink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c>
          <w:tcPr>
            <w:tcW w:type="dxa" w:w="10772"/>
            <w:shd w:fill="DDF1E8"/>
            <w:tcMar>
              <w:top w:w="55" w:type="dxa"/>
              <w:start w:w="75" w:type="dxa"/>
              <w:bottom w:w="55" w:type="dxa"/>
              <w:end w:w="75" w:type="dxa"/>
            </w:tcMar>
            <w:tcBorders>
              <w:top w:val="single" w:sz="5" w:color="2A7F62"/>
              <w:start w:val="single" w:sz="5" w:color="2A7F62"/>
              <w:bottom w:val="single" w:sz="5" w:color="2A7F62"/>
              <w:end w:val="single" w:sz="5" w:color="2A7F62"/>
            </w:tcBorders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2A7F62"/>
                <w:sz w:val="17"/>
              </w:rPr>
              <w:t>Creative Commons CC BY-NC-SA 4.0</w:t>
            </w:r>
            <w:r>
              <w:br/>
            </w:r>
            <w:hyperlink r:id="rId9">
              <w:r>
                <w:rPr>
                  <w:rFonts w:ascii="Noto Sans" w:hAnsi="Noto Sans" w:eastAsia="Noto Sans"/>
                  <w:color w:val="1F4E78"/>
                  <w:u w:val="single"/>
                  <w:sz w:val="14"/>
                </w:rPr>
                <w:t>https://creativecommons.org/licenses/by-nc-sa/4.0/deed.de</w:t>
              </w:r>
            </w:hyperlink>
          </w:p>
        </w:tc>
      </w:tr>
    </w:tbl>
    <w:p>
      <w:pPr>
        <w:spacing w:before="0" w:after="0" w:line="14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c>
          <w:tcPr>
            <w:tcW w:type="dxa" w:w="10772"/>
            <w:shd w:fill="F7F9FB"/>
            <w:tcMar>
              <w:top w:w="35" w:type="dxa"/>
              <w:start w:w="60" w:type="dxa"/>
              <w:bottom w:w="35" w:type="dxa"/>
              <w:end w:w="60" w:type="dxa"/>
            </w:tcMar>
            <w:tcBorders>
              <w:top w:val="single" w:sz="3" w:color="CFD6DC"/>
              <w:start w:val="single" w:sz="3" w:color="CFD6DC"/>
              <w:bottom w:val="single" w:sz="3" w:color="CFD6DC"/>
              <w:end w:val="single" w:sz="3" w:color="CFD6DC"/>
            </w:tcBorders>
          </w:tcPr>
          <w:p>
            <w:pPr>
              <w:spacing w:before="0" w:after="0" w:line="240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2"/>
              </w:rPr>
              <w:t xml:space="preserve">Erstellt von: André Lammers | Lehrer (StD) | Fachberater Deutsch (ZSL) | zertifizierter Coach und Trainer (DVCT) | </w:t>
            </w:r>
            <w:hyperlink r:id="rId17">
              <w:r>
                <w:rPr>
                  <w:rFonts w:ascii="Noto Sans" w:hAnsi="Noto Sans" w:eastAsia="Noto Sans"/>
                  <w:color w:val="1F4E78"/>
                  <w:u w:val="single"/>
                  <w:sz w:val="12"/>
                </w:rPr>
                <w:t>www.aufwind-coaching-beratung.de</w:t>
              </w:r>
            </w:hyperlink>
            <w:r>
              <w:rPr>
                <w:rFonts w:ascii="Noto Sans" w:hAnsi="Noto Sans" w:eastAsia="Noto Sans"/>
                <w:b w:val="0"/>
                <w:i w:val="0"/>
                <w:color w:val="606A74"/>
                <w:sz w:val="12"/>
              </w:rPr>
              <w:t xml:space="preserve"> | Lizenz: CC BY-NC-SA 4.0. Eigenständig entwickelt; fachliche Impulse aus Materialien zum Schülermentoring Baden-Württemberg, weiteren schulischen Lerncoachingmaterialien und professionellen Coachingstandards. KI wurde unterstützend für Datenaufbereitung und Faktencheck eingesetzt. Inhaltliche Auswahl, Gestaltung und Verantwortung: André Lammers.</w:t>
            </w:r>
          </w:p>
        </w:tc>
      </w:tr>
    </w:tbl>
    <w:sectPr w:rsidR="00FC693F" w:rsidRPr="0006063C" w:rsidSect="00034616">
      <w:pgSz w:w="11906" w:h="16838"/>
      <w:pgMar w:top="408" w:right="567" w:bottom="39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Noto Sans" w:hAnsi="Noto Sans" w:eastAsia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creativecommons.org/licenses/by-nc-sa/4.0/deed.de" TargetMode="External"/><Relationship Id="rId10" Type="http://schemas.openxmlformats.org/officeDocument/2006/relationships/hyperlink" Target="https://www.schule-bw.de/themen-und-impulse/individuelles-lernen-und-individuelle-foerderung/allgemein-bildende-schulen/kompetenzraster-als-paedagogische-umsetzungshilfen/lerncoaching/nl24_lerncoaching_unterstuetzung_des_indiv_lernprozesses.pdf" TargetMode="External"/><Relationship Id="rId11" Type="http://schemas.openxmlformats.org/officeDocument/2006/relationships/hyperlink" Target="https://www.qua-lis.nrw.de/system/files/media/document/file/m02-hvk_lerncoachingmappe.pdf" TargetMode="External"/><Relationship Id="rId12" Type="http://schemas.openxmlformats.org/officeDocument/2006/relationships/hyperlink" Target="https://www.dbvc.de/standards-fuer/coaching-kompendium" TargetMode="External"/><Relationship Id="rId13" Type="http://schemas.openxmlformats.org/officeDocument/2006/relationships/hyperlink" Target="https://coachingfederation.org/resource/icf-core-competencies/" TargetMode="External"/><Relationship Id="rId14" Type="http://schemas.openxmlformats.org/officeDocument/2006/relationships/hyperlink" Target="https://coachingverband.org/wp-content/uploads/DCV-Ethikrichtlinie.pdf" TargetMode="External"/><Relationship Id="rId15" Type="http://schemas.openxmlformats.org/officeDocument/2006/relationships/hyperlink" Target="https://www.dgsv.de/beratung/qualitaet/" TargetMode="External"/><Relationship Id="rId16" Type="http://schemas.openxmlformats.org/officeDocument/2006/relationships/hyperlink" Target="https://www.dvct.de/verband/kompetenzmodelle" TargetMode="External"/><Relationship Id="rId17" Type="http://schemas.openxmlformats.org/officeDocument/2006/relationships/hyperlink" Target="https://www.aufwind-coaching-beratung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